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094697" w14:textId="77777777" w:rsidR="00123191" w:rsidRPr="00123191" w:rsidRDefault="00123191" w:rsidP="00123191">
      <w:pPr>
        <w:jc w:val="center"/>
        <w:rPr>
          <w:rFonts w:ascii="Tahoma" w:hAnsi="Tahoma" w:cs="Tahoma"/>
          <w:lang w:val="ro-RO"/>
        </w:rPr>
      </w:pPr>
      <w:r w:rsidRPr="00123191">
        <w:rPr>
          <w:rFonts w:ascii="Tahoma" w:hAnsi="Tahoma" w:cs="Tahoma"/>
          <w:b/>
          <w:bCs/>
          <w:lang w:val="ro-RO"/>
        </w:rPr>
        <w:t>CONDIȚII PRIVIND INSTALAREA, RACORDAREA, UTILIZAREA, SERVICE-UL ȘI GARANȚIA ECHIPAMENTELOR PLUG-IN</w:t>
      </w:r>
    </w:p>
    <w:p w14:paraId="7AE5D6A2" w14:textId="77777777" w:rsidR="00123191" w:rsidRPr="00123191" w:rsidRDefault="00123191" w:rsidP="00123191">
      <w:pPr>
        <w:rPr>
          <w:rFonts w:ascii="Tahoma" w:hAnsi="Tahoma" w:cs="Tahoma"/>
          <w:sz w:val="20"/>
          <w:szCs w:val="20"/>
          <w:lang w:val="ro-RO"/>
        </w:rPr>
      </w:pPr>
      <w:r w:rsidRPr="00123191">
        <w:rPr>
          <w:rFonts w:ascii="Tahoma" w:hAnsi="Tahoma" w:cs="Tahoma"/>
          <w:b/>
          <w:bCs/>
          <w:sz w:val="20"/>
          <w:szCs w:val="20"/>
          <w:lang w:val="ro-RO"/>
        </w:rPr>
        <w:t>1. Instalarea și racordarea echipamentelor</w:t>
      </w:r>
      <w:r w:rsidRPr="00123191">
        <w:rPr>
          <w:rFonts w:ascii="Tahoma" w:hAnsi="Tahoma" w:cs="Tahoma"/>
          <w:sz w:val="20"/>
          <w:szCs w:val="20"/>
          <w:lang w:val="ro-RO"/>
        </w:rPr>
        <w:br/>
        <w:t>Echipamentele furnizate sunt echipamente de tip plug-in și/sau echipamente care, conform specificațiilor producătorului, nu necesită instalare specializată din partea Vânzătorului.</w:t>
      </w:r>
    </w:p>
    <w:p w14:paraId="5E680580"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Instalarea, poziționarea și racordarea echipamentelor la utilitățile existente la locația Cumpărătorului nu sunt incluse în prețul echipamentelor, cu excepția situației în care oferta, comanda sau contractul prevede expres altceva.</w:t>
      </w:r>
    </w:p>
    <w:p w14:paraId="57A7FB0E"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Cumpărătorul va asigura, pe cheltuiala și răspunderea sa, amplasarea și racordarea echipamentelor, direct sau prin intermediul unor persoane/firme autorizate, după caz, cu respectarea:</w:t>
      </w:r>
    </w:p>
    <w:p w14:paraId="62573614" w14:textId="77777777" w:rsidR="00123191" w:rsidRPr="00123191" w:rsidRDefault="00123191" w:rsidP="00123191">
      <w:pPr>
        <w:numPr>
          <w:ilvl w:val="0"/>
          <w:numId w:val="5"/>
        </w:numPr>
        <w:spacing w:after="0"/>
        <w:ind w:left="714" w:hanging="357"/>
        <w:rPr>
          <w:rFonts w:ascii="Tahoma" w:hAnsi="Tahoma" w:cs="Tahoma"/>
          <w:sz w:val="20"/>
          <w:szCs w:val="20"/>
          <w:lang w:val="ro-RO"/>
        </w:rPr>
      </w:pPr>
      <w:r w:rsidRPr="00123191">
        <w:rPr>
          <w:rFonts w:ascii="Tahoma" w:hAnsi="Tahoma" w:cs="Tahoma"/>
          <w:sz w:val="20"/>
          <w:szCs w:val="20"/>
          <w:lang w:val="ro-RO"/>
        </w:rPr>
        <w:t>instrucțiunilor și manualelor tehnice ale producătorului;</w:t>
      </w:r>
    </w:p>
    <w:p w14:paraId="46C28FFB" w14:textId="77777777" w:rsidR="00123191" w:rsidRPr="00123191" w:rsidRDefault="00123191" w:rsidP="00123191">
      <w:pPr>
        <w:numPr>
          <w:ilvl w:val="0"/>
          <w:numId w:val="5"/>
        </w:numPr>
        <w:spacing w:after="0"/>
        <w:ind w:left="714" w:hanging="357"/>
        <w:rPr>
          <w:rFonts w:ascii="Tahoma" w:hAnsi="Tahoma" w:cs="Tahoma"/>
          <w:sz w:val="20"/>
          <w:szCs w:val="20"/>
          <w:lang w:val="ro-RO"/>
        </w:rPr>
      </w:pPr>
      <w:r w:rsidRPr="00123191">
        <w:rPr>
          <w:rFonts w:ascii="Tahoma" w:hAnsi="Tahoma" w:cs="Tahoma"/>
          <w:sz w:val="20"/>
          <w:szCs w:val="20"/>
          <w:lang w:val="ro-RO"/>
        </w:rPr>
        <w:t>caracteristicilor tehnice ale echipamentului;</w:t>
      </w:r>
    </w:p>
    <w:p w14:paraId="311A6D8C" w14:textId="77777777" w:rsidR="00123191" w:rsidRPr="00123191" w:rsidRDefault="00123191" w:rsidP="00123191">
      <w:pPr>
        <w:numPr>
          <w:ilvl w:val="0"/>
          <w:numId w:val="5"/>
        </w:numPr>
        <w:spacing w:after="0"/>
        <w:ind w:left="714" w:hanging="357"/>
        <w:rPr>
          <w:rFonts w:ascii="Tahoma" w:hAnsi="Tahoma" w:cs="Tahoma"/>
          <w:sz w:val="20"/>
          <w:szCs w:val="20"/>
          <w:lang w:val="ro-RO"/>
        </w:rPr>
      </w:pPr>
      <w:r w:rsidRPr="00123191">
        <w:rPr>
          <w:rFonts w:ascii="Tahoma" w:hAnsi="Tahoma" w:cs="Tahoma"/>
          <w:sz w:val="20"/>
          <w:szCs w:val="20"/>
          <w:lang w:val="ro-RO"/>
        </w:rPr>
        <w:t>normelor legale și tehnice aplicabile;</w:t>
      </w:r>
    </w:p>
    <w:p w14:paraId="5DE953C6" w14:textId="77777777" w:rsidR="00123191" w:rsidRPr="00123191" w:rsidRDefault="00123191" w:rsidP="00123191">
      <w:pPr>
        <w:numPr>
          <w:ilvl w:val="0"/>
          <w:numId w:val="5"/>
        </w:numPr>
        <w:spacing w:after="0"/>
        <w:ind w:left="714" w:hanging="357"/>
        <w:rPr>
          <w:rFonts w:ascii="Tahoma" w:hAnsi="Tahoma" w:cs="Tahoma"/>
          <w:sz w:val="20"/>
          <w:szCs w:val="20"/>
          <w:lang w:val="ro-RO"/>
        </w:rPr>
      </w:pPr>
      <w:r w:rsidRPr="00123191">
        <w:rPr>
          <w:rFonts w:ascii="Tahoma" w:hAnsi="Tahoma" w:cs="Tahoma"/>
          <w:sz w:val="20"/>
          <w:szCs w:val="20"/>
          <w:lang w:val="ro-RO"/>
        </w:rPr>
        <w:t>cerințelor privind instalațiile electrice, alimentarea cu apă, evacuarea, ventilația și celelalte utilități necesare;</w:t>
      </w:r>
    </w:p>
    <w:p w14:paraId="5B3FAA72" w14:textId="77777777" w:rsidR="00123191" w:rsidRDefault="00123191" w:rsidP="00123191">
      <w:pPr>
        <w:numPr>
          <w:ilvl w:val="0"/>
          <w:numId w:val="5"/>
        </w:numPr>
        <w:spacing w:after="0"/>
        <w:ind w:left="714" w:hanging="357"/>
        <w:rPr>
          <w:rFonts w:ascii="Tahoma" w:hAnsi="Tahoma" w:cs="Tahoma"/>
          <w:sz w:val="20"/>
          <w:szCs w:val="20"/>
          <w:lang w:val="ro-RO"/>
        </w:rPr>
      </w:pPr>
      <w:r w:rsidRPr="00123191">
        <w:rPr>
          <w:rFonts w:ascii="Tahoma" w:hAnsi="Tahoma" w:cs="Tahoma"/>
          <w:sz w:val="20"/>
          <w:szCs w:val="20"/>
          <w:lang w:val="ro-RO"/>
        </w:rPr>
        <w:t>condițiilor de mediu și exploatare indicate de producător.</w:t>
      </w:r>
    </w:p>
    <w:p w14:paraId="36BB10C3" w14:textId="77777777" w:rsidR="00123191" w:rsidRPr="00123191" w:rsidRDefault="00123191" w:rsidP="00123191">
      <w:pPr>
        <w:spacing w:after="0"/>
        <w:ind w:left="714"/>
        <w:rPr>
          <w:rFonts w:ascii="Tahoma" w:hAnsi="Tahoma" w:cs="Tahoma"/>
          <w:sz w:val="20"/>
          <w:szCs w:val="20"/>
          <w:lang w:val="ro-RO"/>
        </w:rPr>
      </w:pPr>
    </w:p>
    <w:p w14:paraId="347AB740"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Cumpărătorul este responsabil pentru realizarea, existența, conformitatea și funcționarea corespunzătoare a tuturor utilităților necesare echipamentului.</w:t>
      </w:r>
    </w:p>
    <w:p w14:paraId="62D4D1F0"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La solicitarea Cumpărătorului, Vânzătorul poate oferta separat servicii de instalare, racordare și/sau punere în funcțiune, atunci când acestea sunt disponibile. Aceste servicii sunt opționale și contra cost, conform ofertei și tarifelor în vigoare ale Vânzătorului.</w:t>
      </w:r>
    </w:p>
    <w:p w14:paraId="1986CD2A" w14:textId="77777777" w:rsidR="00123191" w:rsidRPr="00123191" w:rsidRDefault="00123191" w:rsidP="00123191">
      <w:pPr>
        <w:rPr>
          <w:rFonts w:ascii="Tahoma" w:hAnsi="Tahoma" w:cs="Tahoma"/>
          <w:sz w:val="20"/>
          <w:szCs w:val="20"/>
          <w:lang w:val="ro-RO"/>
        </w:rPr>
      </w:pPr>
      <w:r w:rsidRPr="00123191">
        <w:rPr>
          <w:rFonts w:ascii="Tahoma" w:hAnsi="Tahoma" w:cs="Tahoma"/>
          <w:b/>
          <w:bCs/>
          <w:sz w:val="20"/>
          <w:szCs w:val="20"/>
          <w:lang w:val="ro-RO"/>
        </w:rPr>
        <w:t>2. Condițiile amplasamentului și utilităților</w:t>
      </w:r>
      <w:r w:rsidRPr="00123191">
        <w:rPr>
          <w:rFonts w:ascii="Tahoma" w:hAnsi="Tahoma" w:cs="Tahoma"/>
          <w:sz w:val="20"/>
          <w:szCs w:val="20"/>
          <w:lang w:val="ro-RO"/>
        </w:rPr>
        <w:br/>
        <w:t>Anterior racordării și utilizării echipamentului, Cumpărătorul are obligația de a verifica și asigura că amplasamentul și utilitățile corespund cerințelor tehnice comunicate de producător / Vânzător (necesar utilități).</w:t>
      </w:r>
    </w:p>
    <w:p w14:paraId="63798A17"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Cumpărătorul va asigura, după caz:</w:t>
      </w:r>
    </w:p>
    <w:p w14:paraId="48B37949"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tensiunea, frecvența, puterea instalată și protecțiile electrice corespunzătoare;</w:t>
      </w:r>
    </w:p>
    <w:p w14:paraId="2840B2B3"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împământarea corespunzătoare;</w:t>
      </w:r>
    </w:p>
    <w:p w14:paraId="551433F3"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prize, cabluri, siguranțe și protecții electrice conforme;</w:t>
      </w:r>
    </w:p>
    <w:p w14:paraId="0319D097"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presiunea, debitul și calitatea corespunzătoare a apei;</w:t>
      </w:r>
    </w:p>
    <w:p w14:paraId="1063E622"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filtrarea și/sau tratarea apei, atunci când este solicitată de producător;</w:t>
      </w:r>
    </w:p>
    <w:p w14:paraId="63805F73"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racordurile de alimentare și evacuare corespunzătoare;</w:t>
      </w:r>
    </w:p>
    <w:p w14:paraId="4EDA98FE"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scurgeri dimensionate și executate corespunzător;</w:t>
      </w:r>
    </w:p>
    <w:p w14:paraId="332C166D"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ventilația și spațiile tehnice necesare;</w:t>
      </w:r>
    </w:p>
    <w:p w14:paraId="3D651862"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temperatura, umiditatea și condițiile ambientale conforme cerințelor producătorului;</w:t>
      </w:r>
    </w:p>
    <w:p w14:paraId="6A6537B3"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instalații de gaz, efectuate de firme autorizate, împreună cu proiectul instalației de gaz;</w:t>
      </w:r>
    </w:p>
    <w:p w14:paraId="4816AE89"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racordarea echipamentelor la rețeaua de gaz de către o firmă autorizată;</w:t>
      </w:r>
    </w:p>
    <w:p w14:paraId="293295D0"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instalații de abur, efectuate de către o firmă autorizată, împreună cu proiectul instalației de abur;</w:t>
      </w:r>
    </w:p>
    <w:p w14:paraId="14AA1073" w14:textId="77777777" w:rsidR="00123191" w:rsidRPr="00123191" w:rsidRDefault="00123191" w:rsidP="00123191">
      <w:pPr>
        <w:numPr>
          <w:ilvl w:val="0"/>
          <w:numId w:val="6"/>
        </w:numPr>
        <w:spacing w:after="0"/>
        <w:ind w:left="714" w:hanging="357"/>
        <w:rPr>
          <w:rFonts w:ascii="Tahoma" w:hAnsi="Tahoma" w:cs="Tahoma"/>
          <w:sz w:val="20"/>
          <w:szCs w:val="20"/>
          <w:lang w:val="ro-RO"/>
        </w:rPr>
      </w:pPr>
      <w:r w:rsidRPr="00123191">
        <w:rPr>
          <w:rFonts w:ascii="Tahoma" w:hAnsi="Tahoma" w:cs="Tahoma"/>
          <w:sz w:val="20"/>
          <w:szCs w:val="20"/>
          <w:lang w:val="ro-RO"/>
        </w:rPr>
        <w:t>racordarea echipamentelor la instalația de abur de către o firmă autorizată.</w:t>
      </w:r>
    </w:p>
    <w:p w14:paraId="5B45D4FB"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Vânzătorul nu răspunde pentru conformitatea instalațiilor și utilităților existente în locația Cumpărătorului atunci când acestea nu au făcut obiectul unui serviciu distinct contractat și executat de Vânzător.</w:t>
      </w:r>
    </w:p>
    <w:p w14:paraId="21088CC8" w14:textId="77777777" w:rsidR="00123191" w:rsidRPr="00123191" w:rsidRDefault="00123191" w:rsidP="00123191">
      <w:pPr>
        <w:rPr>
          <w:rFonts w:ascii="Tahoma" w:hAnsi="Tahoma" w:cs="Tahoma"/>
          <w:sz w:val="20"/>
          <w:szCs w:val="20"/>
          <w:lang w:val="ro-RO"/>
        </w:rPr>
      </w:pPr>
      <w:r w:rsidRPr="00123191">
        <w:rPr>
          <w:rFonts w:ascii="Tahoma" w:hAnsi="Tahoma" w:cs="Tahoma"/>
          <w:b/>
          <w:bCs/>
          <w:sz w:val="20"/>
          <w:szCs w:val="20"/>
          <w:lang w:val="ro-RO"/>
        </w:rPr>
        <w:lastRenderedPageBreak/>
        <w:t>3. Condițiile de acordare a garanției</w:t>
      </w:r>
      <w:r w:rsidRPr="00123191">
        <w:rPr>
          <w:rFonts w:ascii="Tahoma" w:hAnsi="Tahoma" w:cs="Tahoma"/>
          <w:sz w:val="20"/>
          <w:szCs w:val="20"/>
          <w:lang w:val="ro-RO"/>
        </w:rPr>
        <w:br/>
        <w:t>Garanția echipamentului se acordă în condițiile stabilite de producător și de documentele de garanție ale Vânzătorului, cu condiția ca echipamentul să fie instalat, racordat, utilizat și întreținut în conformitate cu manualul tehnic, instrucțiunile producătorului și normele tehnice aplicabile.</w:t>
      </w:r>
    </w:p>
    <w:p w14:paraId="600DA833"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Perioada de garanție a echipamentului este de 12 luni de la data emiterii facturii fiscale, cu excepția situației în care se menționează expres altceva în contract.</w:t>
      </w:r>
    </w:p>
    <w:p w14:paraId="06FA9AAD"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Faptul că instalarea/racordarea este efectuată de Cumpărător sau de un terț nu afectează prin el însuși garanția echipamentului.</w:t>
      </w:r>
    </w:p>
    <w:p w14:paraId="570C92C6"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Nu sunt însă acoperite de garanție defecțiunile, avariile sau neconformitățile pentru care se constată că au fost cauzate, total sau parțial, de instalarea/racordarea necorespunzătoare, de condițiile necorespunzătoare ale amplasamentului sau utilităților ori de utilizarea sau întreținerea neconformă.</w:t>
      </w:r>
    </w:p>
    <w:p w14:paraId="18678B0D" w14:textId="77777777" w:rsidR="00123191" w:rsidRPr="00123191" w:rsidRDefault="00123191" w:rsidP="00123191">
      <w:pPr>
        <w:rPr>
          <w:rFonts w:ascii="Tahoma" w:hAnsi="Tahoma" w:cs="Tahoma"/>
          <w:sz w:val="20"/>
          <w:szCs w:val="20"/>
          <w:lang w:val="ro-RO"/>
        </w:rPr>
      </w:pPr>
      <w:r w:rsidRPr="00123191">
        <w:rPr>
          <w:rFonts w:ascii="Tahoma" w:hAnsi="Tahoma" w:cs="Tahoma"/>
          <w:b/>
          <w:bCs/>
          <w:sz w:val="20"/>
          <w:szCs w:val="20"/>
          <w:lang w:val="ro-RO"/>
        </w:rPr>
        <w:t>4. Situații care nu fac obiectul garanției</w:t>
      </w:r>
      <w:r w:rsidRPr="00123191">
        <w:rPr>
          <w:rFonts w:ascii="Tahoma" w:hAnsi="Tahoma" w:cs="Tahoma"/>
          <w:sz w:val="20"/>
          <w:szCs w:val="20"/>
          <w:lang w:val="ro-RO"/>
        </w:rPr>
        <w:br/>
        <w:t>Fără ca enumerarea să fie limitativă, garanția nu acoperă defecțiunile sau deteriorările cauzate de:</w:t>
      </w:r>
    </w:p>
    <w:p w14:paraId="574E3262"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instalarea sau racordarea neconformă cu instrucțiunile producătorului;</w:t>
      </w:r>
    </w:p>
    <w:p w14:paraId="6DEFD06F"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tensiune electrică necorespunzătoare, fluctuații sau căderi de tensiune, supratensiuni, lipsa fazelor, succesiunea incorectă a fazelor ori alte probleme ale rețelei electrice;</w:t>
      </w:r>
    </w:p>
    <w:p w14:paraId="241C35AD"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lipsa sau neconformitatea împământării;</w:t>
      </w:r>
    </w:p>
    <w:p w14:paraId="6943F15B"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prize, cabluri, prelungitoare, siguranțe sau protecții electrice necorespunzătoare;</w:t>
      </w:r>
    </w:p>
    <w:p w14:paraId="6E8F2325"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presiune sau debit de apă necorespunzătoare;</w:t>
      </w:r>
    </w:p>
    <w:p w14:paraId="044442A6"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impurități, sedimente, rugină, nisip sau alte particule provenite din instalația de alimentare cu apă;</w:t>
      </w:r>
    </w:p>
    <w:p w14:paraId="49BD85B0"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apă cu duritate sau compoziție necorespunzătoare cerințelor producătorului;</w:t>
      </w:r>
    </w:p>
    <w:p w14:paraId="06BE914D"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lipsa filtrelor, dedurizatoarelor sau sistemelor de tratare solicitate de producător;</w:t>
      </w:r>
    </w:p>
    <w:p w14:paraId="57D8DAB6"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evacuări sau scurgeri necorespunzătoare, înfundate ori insuficient dimensionate;</w:t>
      </w:r>
    </w:p>
    <w:p w14:paraId="354B6A9C"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refluxul apei sau al altor lichide în echipament;</w:t>
      </w:r>
    </w:p>
    <w:p w14:paraId="2945AB21"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inundații, infiltrații, condens excesiv sau pătrunderea apei/lichidelor în componentele electrice sau electronice;</w:t>
      </w:r>
    </w:p>
    <w:p w14:paraId="70C2DD43"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ventilație insuficientă, supraîncălzire sau nerespectarea distanțelor minime de instalare;</w:t>
      </w:r>
    </w:p>
    <w:p w14:paraId="7EAF5018"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utilizarea echipamentului în condiții ambientale necorespunzătoare;</w:t>
      </w:r>
    </w:p>
    <w:p w14:paraId="26A09332"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utilizarea unor detergenți, substanțe chimice, consumabile sau accesorii necorespunzătoare;</w:t>
      </w:r>
    </w:p>
    <w:p w14:paraId="793B9CFC"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nerespectarea operațiunilor periodice de curățare și întreținere prevăzute de producător;</w:t>
      </w:r>
    </w:p>
    <w:p w14:paraId="7F0255BF"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acumulări de calcar, grăsime, reziduuri sau impurități ca urmare a întreținerii necorespunzătoare;</w:t>
      </w:r>
    </w:p>
    <w:p w14:paraId="17A0774D"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blocarea componentelor prin corpuri străine sau reziduuri;</w:t>
      </w:r>
    </w:p>
    <w:p w14:paraId="020D82A5"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forțarea mecanică a componentelor blocate, inclusiv uși, mânere, robineți, butoane, sertare, capace sau alte elemente mobile;</w:t>
      </w:r>
    </w:p>
    <w:p w14:paraId="5B5993DC"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lovituri, șocuri mecanice, manipulare sau transport necorespunzător efectuat după livrare;</w:t>
      </w:r>
    </w:p>
    <w:p w14:paraId="168A474D"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intervenții, modificări sau reparații efectuate de persoane neautorizate;</w:t>
      </w:r>
    </w:p>
    <w:p w14:paraId="51DE206D"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utilizarea echipamentului în alte scopuri sau condiții decât cele pentru care a fost proiectat;</w:t>
      </w:r>
    </w:p>
    <w:p w14:paraId="518ECC10"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nerespectarea instrucțiunilor de utilizare și întreținere;</w:t>
      </w:r>
    </w:p>
    <w:p w14:paraId="6E37732D"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incendii, inundații, calamități, variații ale rețelelor de utilități sau alte cauze externe echipamentului;</w:t>
      </w:r>
    </w:p>
    <w:p w14:paraId="604A7EBB" w14:textId="77777777" w:rsidR="00123191" w:rsidRP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folosirea pentru programele de curățare și spălare a cuptoarelor ELECTROLUX sau RATIONAL a altor detergenți decât cei originali ai producătorilor echipamentelor;</w:t>
      </w:r>
    </w:p>
    <w:p w14:paraId="24ECAFAA" w14:textId="77777777" w:rsidR="00123191" w:rsidRDefault="00123191" w:rsidP="00123191">
      <w:pPr>
        <w:numPr>
          <w:ilvl w:val="0"/>
          <w:numId w:val="7"/>
        </w:numPr>
        <w:spacing w:after="0"/>
        <w:ind w:left="714" w:hanging="357"/>
        <w:rPr>
          <w:rFonts w:ascii="Tahoma" w:hAnsi="Tahoma" w:cs="Tahoma"/>
          <w:sz w:val="20"/>
          <w:szCs w:val="20"/>
          <w:lang w:val="ro-RO"/>
        </w:rPr>
      </w:pPr>
      <w:r w:rsidRPr="00123191">
        <w:rPr>
          <w:rFonts w:ascii="Tahoma" w:hAnsi="Tahoma" w:cs="Tahoma"/>
          <w:sz w:val="20"/>
          <w:szCs w:val="20"/>
          <w:lang w:val="ro-RO"/>
        </w:rPr>
        <w:t xml:space="preserve">întreținerea periodică, reviziile periodice conform recomandărilor producătorului din manualul de utilizare și întreținere, reparația sau înlocuirea unor piese ca urmare a uzurii normale pentru componentele aflate în mișcare pe care producătorul le clasifică drept piese de </w:t>
      </w:r>
      <w:r w:rsidRPr="00123191">
        <w:rPr>
          <w:rFonts w:ascii="Tahoma" w:hAnsi="Tahoma" w:cs="Tahoma"/>
          <w:sz w:val="20"/>
          <w:szCs w:val="20"/>
          <w:lang w:val="ro-RO"/>
        </w:rPr>
        <w:lastRenderedPageBreak/>
        <w:t>uzură/consumabile (rulmenți, simeringuri, pinioane, roți dințate, curele și lanțuri de transmisie), precum și a elementelor considerate consumabile (rezistențe, pânze calandru, aprinderi piezoelectrice, termocuple, discuri și dispozitive pentru tăiat și răzuit, plăci abrazive etc.) nu sunt acoperite ca și cost în garanție.</w:t>
      </w:r>
    </w:p>
    <w:p w14:paraId="661D982F" w14:textId="77777777" w:rsidR="00123191" w:rsidRPr="00123191" w:rsidRDefault="00123191" w:rsidP="00123191">
      <w:pPr>
        <w:spacing w:after="0"/>
        <w:ind w:left="714"/>
        <w:rPr>
          <w:rFonts w:ascii="Tahoma" w:hAnsi="Tahoma" w:cs="Tahoma"/>
          <w:sz w:val="20"/>
          <w:szCs w:val="20"/>
          <w:lang w:val="ro-RO"/>
        </w:rPr>
      </w:pPr>
    </w:p>
    <w:p w14:paraId="271BDD88" w14:textId="77777777" w:rsidR="00123191" w:rsidRPr="00123191" w:rsidRDefault="00123191" w:rsidP="00123191">
      <w:pPr>
        <w:rPr>
          <w:rFonts w:ascii="Tahoma" w:hAnsi="Tahoma" w:cs="Tahoma"/>
          <w:sz w:val="20"/>
          <w:szCs w:val="20"/>
          <w:lang w:val="ro-RO"/>
        </w:rPr>
      </w:pPr>
      <w:r w:rsidRPr="00123191">
        <w:rPr>
          <w:rFonts w:ascii="Tahoma" w:hAnsi="Tahoma" w:cs="Tahoma"/>
          <w:b/>
          <w:bCs/>
          <w:sz w:val="20"/>
          <w:szCs w:val="20"/>
          <w:lang w:val="ro-RO"/>
        </w:rPr>
        <w:t>5. Intervențiile service în perioada de garanție</w:t>
      </w:r>
      <w:r w:rsidRPr="00123191">
        <w:rPr>
          <w:rFonts w:ascii="Tahoma" w:hAnsi="Tahoma" w:cs="Tahoma"/>
          <w:sz w:val="20"/>
          <w:szCs w:val="20"/>
          <w:lang w:val="ro-RO"/>
        </w:rPr>
        <w:br/>
        <w:t>Solicitările de service în perioada de garanție vor fi tratate conform condițiilor de garanție și politicii de service aplicabile echipamentului respectiv.</w:t>
      </w:r>
    </w:p>
    <w:p w14:paraId="730E7CE6"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Atunci când politica producătorului/Vânzătorului prevede intervenția la locația Cumpărătorului, personalul de service va efectua constatarea tehnică în locația în care este instalat echipamentul.</w:t>
      </w:r>
    </w:p>
    <w:p w14:paraId="0DDA833C"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Deplasarea și intervenția în perioada de garanție nu presupun automat că defecțiunea constatată este acoperită de garanție. În urma diagnosticului tehnic se va stabili cauza defecțiunii și aplicabilitatea garanției.</w:t>
      </w:r>
    </w:p>
    <w:p w14:paraId="12E95C0F"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În cazul în care se constată că defecțiunea este acoperită de garanție, aceasta va fi remediată conform condițiilor de garanție aplicabile.</w:t>
      </w:r>
    </w:p>
    <w:p w14:paraId="1D7D54F6" w14:textId="77777777" w:rsidR="00123191" w:rsidRPr="00123191" w:rsidRDefault="00123191" w:rsidP="00123191">
      <w:pPr>
        <w:rPr>
          <w:rFonts w:ascii="Tahoma" w:hAnsi="Tahoma" w:cs="Tahoma"/>
          <w:sz w:val="20"/>
          <w:szCs w:val="20"/>
          <w:lang w:val="ro-RO"/>
        </w:rPr>
      </w:pPr>
      <w:r w:rsidRPr="00123191">
        <w:rPr>
          <w:rFonts w:ascii="Tahoma" w:hAnsi="Tahoma" w:cs="Tahoma"/>
          <w:sz w:val="20"/>
          <w:szCs w:val="20"/>
          <w:lang w:val="ro-RO"/>
        </w:rPr>
        <w:t>În cazul în care se constată că defecțiunea nu este imputabilă echipamentului și/sau nu este acoperită de garanție, Cumpărătorul va suporta costurile aferente intervenției, inclusiv, după caz: deplasare, constatare/diagnoză, manoperă, piese, consumabile, transport și alte cheltuieli necesare intervenției. Costurile vor fi facturate conform tarifelor Vânzătorului prevăzute în Condițiile de garanție/service în vigoare.</w:t>
      </w:r>
    </w:p>
    <w:p w14:paraId="7CB853BA" w14:textId="43CEB926" w:rsidR="00144DB2" w:rsidRPr="00123191" w:rsidRDefault="00123191" w:rsidP="00123191">
      <w:pPr>
        <w:rPr>
          <w:rFonts w:ascii="Tahoma" w:hAnsi="Tahoma" w:cs="Tahoma"/>
          <w:sz w:val="20"/>
          <w:szCs w:val="20"/>
          <w:lang w:val="ro-RO"/>
        </w:rPr>
      </w:pPr>
      <w:r w:rsidRPr="00123191">
        <w:rPr>
          <w:rFonts w:ascii="Tahoma" w:hAnsi="Tahoma" w:cs="Tahoma"/>
          <w:b/>
          <w:bCs/>
          <w:sz w:val="20"/>
          <w:szCs w:val="20"/>
          <w:lang w:val="ro-RO"/>
        </w:rPr>
        <w:t>6. Accesul pentru intervențiile service</w:t>
      </w:r>
      <w:r w:rsidRPr="00123191">
        <w:rPr>
          <w:rFonts w:ascii="Tahoma" w:hAnsi="Tahoma" w:cs="Tahoma"/>
          <w:sz w:val="20"/>
          <w:szCs w:val="20"/>
          <w:lang w:val="ro-RO"/>
        </w:rPr>
        <w:br/>
        <w:t>Cumpărătorul va asigura personalului tehnic accesul în condiții de siguranță la echipament și la utilitățile aferente acestuia. Înaintea intervenției, Cumpărătorul va asigura, după caz, golirea echipamentului, îndepărtarea produselor/bunurilor.</w:t>
      </w:r>
    </w:p>
    <w:sectPr w:rsidR="00144DB2" w:rsidRPr="001231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00606"/>
    <w:multiLevelType w:val="multilevel"/>
    <w:tmpl w:val="9588E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40BF0"/>
    <w:multiLevelType w:val="multilevel"/>
    <w:tmpl w:val="74460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F6241"/>
    <w:multiLevelType w:val="multilevel"/>
    <w:tmpl w:val="4E1E2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F866AD"/>
    <w:multiLevelType w:val="hybridMultilevel"/>
    <w:tmpl w:val="F9B05E20"/>
    <w:lvl w:ilvl="0" w:tplc="6BA644DC">
      <w:start w:val="1"/>
      <w:numFmt w:val="decimal"/>
      <w:lvlText w:val="%1."/>
      <w:lvlJc w:val="left"/>
      <w:pPr>
        <w:tabs>
          <w:tab w:val="num" w:pos="1080"/>
        </w:tabs>
        <w:ind w:left="1080" w:hanging="360"/>
      </w:pPr>
      <w:rPr>
        <w:rFonts w:hint="default"/>
      </w:rPr>
    </w:lvl>
    <w:lvl w:ilvl="1" w:tplc="04180019" w:tentative="1">
      <w:start w:val="1"/>
      <w:numFmt w:val="lowerLetter"/>
      <w:lvlText w:val="%2."/>
      <w:lvlJc w:val="left"/>
      <w:pPr>
        <w:tabs>
          <w:tab w:val="num" w:pos="1800"/>
        </w:tabs>
        <w:ind w:left="1800" w:hanging="360"/>
      </w:pPr>
    </w:lvl>
    <w:lvl w:ilvl="2" w:tplc="0418001B" w:tentative="1">
      <w:start w:val="1"/>
      <w:numFmt w:val="lowerRoman"/>
      <w:lvlText w:val="%3."/>
      <w:lvlJc w:val="right"/>
      <w:pPr>
        <w:tabs>
          <w:tab w:val="num" w:pos="2520"/>
        </w:tabs>
        <w:ind w:left="2520" w:hanging="180"/>
      </w:pPr>
    </w:lvl>
    <w:lvl w:ilvl="3" w:tplc="0418000F" w:tentative="1">
      <w:start w:val="1"/>
      <w:numFmt w:val="decimal"/>
      <w:lvlText w:val="%4."/>
      <w:lvlJc w:val="left"/>
      <w:pPr>
        <w:tabs>
          <w:tab w:val="num" w:pos="3240"/>
        </w:tabs>
        <w:ind w:left="3240" w:hanging="360"/>
      </w:pPr>
    </w:lvl>
    <w:lvl w:ilvl="4" w:tplc="04180019" w:tentative="1">
      <w:start w:val="1"/>
      <w:numFmt w:val="lowerLetter"/>
      <w:lvlText w:val="%5."/>
      <w:lvlJc w:val="left"/>
      <w:pPr>
        <w:tabs>
          <w:tab w:val="num" w:pos="3960"/>
        </w:tabs>
        <w:ind w:left="3960" w:hanging="360"/>
      </w:pPr>
    </w:lvl>
    <w:lvl w:ilvl="5" w:tplc="0418001B" w:tentative="1">
      <w:start w:val="1"/>
      <w:numFmt w:val="lowerRoman"/>
      <w:lvlText w:val="%6."/>
      <w:lvlJc w:val="right"/>
      <w:pPr>
        <w:tabs>
          <w:tab w:val="num" w:pos="4680"/>
        </w:tabs>
        <w:ind w:left="4680" w:hanging="180"/>
      </w:pPr>
    </w:lvl>
    <w:lvl w:ilvl="6" w:tplc="0418000F" w:tentative="1">
      <w:start w:val="1"/>
      <w:numFmt w:val="decimal"/>
      <w:lvlText w:val="%7."/>
      <w:lvlJc w:val="left"/>
      <w:pPr>
        <w:tabs>
          <w:tab w:val="num" w:pos="5400"/>
        </w:tabs>
        <w:ind w:left="5400" w:hanging="360"/>
      </w:pPr>
    </w:lvl>
    <w:lvl w:ilvl="7" w:tplc="04180019" w:tentative="1">
      <w:start w:val="1"/>
      <w:numFmt w:val="lowerLetter"/>
      <w:lvlText w:val="%8."/>
      <w:lvlJc w:val="left"/>
      <w:pPr>
        <w:tabs>
          <w:tab w:val="num" w:pos="6120"/>
        </w:tabs>
        <w:ind w:left="6120" w:hanging="360"/>
      </w:pPr>
    </w:lvl>
    <w:lvl w:ilvl="8" w:tplc="0418001B" w:tentative="1">
      <w:start w:val="1"/>
      <w:numFmt w:val="lowerRoman"/>
      <w:lvlText w:val="%9."/>
      <w:lvlJc w:val="right"/>
      <w:pPr>
        <w:tabs>
          <w:tab w:val="num" w:pos="6840"/>
        </w:tabs>
        <w:ind w:left="6840" w:hanging="180"/>
      </w:pPr>
    </w:lvl>
  </w:abstractNum>
  <w:abstractNum w:abstractNumId="4" w15:restartNumberingAfterBreak="0">
    <w:nsid w:val="271346B8"/>
    <w:multiLevelType w:val="multilevel"/>
    <w:tmpl w:val="6EA0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359B4"/>
    <w:multiLevelType w:val="multilevel"/>
    <w:tmpl w:val="2B42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E7007B6"/>
    <w:multiLevelType w:val="multilevel"/>
    <w:tmpl w:val="FBDCA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5222679">
    <w:abstractNumId w:val="0"/>
  </w:num>
  <w:num w:numId="2" w16cid:durableId="1139955252">
    <w:abstractNumId w:val="2"/>
  </w:num>
  <w:num w:numId="3" w16cid:durableId="1978945822">
    <w:abstractNumId w:val="6"/>
  </w:num>
  <w:num w:numId="4" w16cid:durableId="968244420">
    <w:abstractNumId w:val="3"/>
  </w:num>
  <w:num w:numId="5" w16cid:durableId="1885408170">
    <w:abstractNumId w:val="5"/>
  </w:num>
  <w:num w:numId="6" w16cid:durableId="65420348">
    <w:abstractNumId w:val="4"/>
  </w:num>
  <w:num w:numId="7" w16cid:durableId="1976252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4DB2"/>
    <w:rsid w:val="00123191"/>
    <w:rsid w:val="00144DB2"/>
    <w:rsid w:val="00197279"/>
    <w:rsid w:val="001A2F2E"/>
    <w:rsid w:val="001E554F"/>
    <w:rsid w:val="001E5C47"/>
    <w:rsid w:val="00315B8E"/>
    <w:rsid w:val="00317F68"/>
    <w:rsid w:val="00346976"/>
    <w:rsid w:val="003C326F"/>
    <w:rsid w:val="003C5EF7"/>
    <w:rsid w:val="003F0BAF"/>
    <w:rsid w:val="00424721"/>
    <w:rsid w:val="0049466C"/>
    <w:rsid w:val="0052333D"/>
    <w:rsid w:val="006D3B56"/>
    <w:rsid w:val="007A7BD6"/>
    <w:rsid w:val="007D6238"/>
    <w:rsid w:val="00801E68"/>
    <w:rsid w:val="008440B6"/>
    <w:rsid w:val="00A51566"/>
    <w:rsid w:val="00A66B8F"/>
    <w:rsid w:val="00A67978"/>
    <w:rsid w:val="00B46200"/>
    <w:rsid w:val="00BA2C10"/>
    <w:rsid w:val="00CC06A6"/>
    <w:rsid w:val="00CC0A7C"/>
    <w:rsid w:val="00CD1D9A"/>
    <w:rsid w:val="00CF53C8"/>
    <w:rsid w:val="00D149F9"/>
    <w:rsid w:val="00DB2AC7"/>
    <w:rsid w:val="00E470C2"/>
    <w:rsid w:val="00EA1982"/>
    <w:rsid w:val="00F171A5"/>
    <w:rsid w:val="00F361F1"/>
    <w:rsid w:val="00FB02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28BE5"/>
  <w15:chartTrackingRefBased/>
  <w15:docId w15:val="{8B22879E-B195-4689-9CB5-FC29E9ABBD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4D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4D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4D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4D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4D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4D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4D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4D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4D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D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4D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4D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4D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4D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4D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4D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4D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4DB2"/>
    <w:rPr>
      <w:rFonts w:eastAsiaTheme="majorEastAsia" w:cstheme="majorBidi"/>
      <w:color w:val="272727" w:themeColor="text1" w:themeTint="D8"/>
    </w:rPr>
  </w:style>
  <w:style w:type="paragraph" w:styleId="Title">
    <w:name w:val="Title"/>
    <w:basedOn w:val="Normal"/>
    <w:next w:val="Normal"/>
    <w:link w:val="TitleChar"/>
    <w:uiPriority w:val="10"/>
    <w:qFormat/>
    <w:rsid w:val="00144D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4D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4D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4D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4DB2"/>
    <w:pPr>
      <w:spacing w:before="160"/>
      <w:jc w:val="center"/>
    </w:pPr>
    <w:rPr>
      <w:i/>
      <w:iCs/>
      <w:color w:val="404040" w:themeColor="text1" w:themeTint="BF"/>
    </w:rPr>
  </w:style>
  <w:style w:type="character" w:customStyle="1" w:styleId="QuoteChar">
    <w:name w:val="Quote Char"/>
    <w:basedOn w:val="DefaultParagraphFont"/>
    <w:link w:val="Quote"/>
    <w:uiPriority w:val="29"/>
    <w:rsid w:val="00144DB2"/>
    <w:rPr>
      <w:i/>
      <w:iCs/>
      <w:color w:val="404040" w:themeColor="text1" w:themeTint="BF"/>
    </w:rPr>
  </w:style>
  <w:style w:type="paragraph" w:styleId="ListParagraph">
    <w:name w:val="List Paragraph"/>
    <w:basedOn w:val="Normal"/>
    <w:uiPriority w:val="34"/>
    <w:qFormat/>
    <w:rsid w:val="00144DB2"/>
    <w:pPr>
      <w:ind w:left="720"/>
      <w:contextualSpacing/>
    </w:pPr>
  </w:style>
  <w:style w:type="character" w:styleId="IntenseEmphasis">
    <w:name w:val="Intense Emphasis"/>
    <w:basedOn w:val="DefaultParagraphFont"/>
    <w:uiPriority w:val="21"/>
    <w:qFormat/>
    <w:rsid w:val="00144DB2"/>
    <w:rPr>
      <w:i/>
      <w:iCs/>
      <w:color w:val="0F4761" w:themeColor="accent1" w:themeShade="BF"/>
    </w:rPr>
  </w:style>
  <w:style w:type="paragraph" w:styleId="IntenseQuote">
    <w:name w:val="Intense Quote"/>
    <w:basedOn w:val="Normal"/>
    <w:next w:val="Normal"/>
    <w:link w:val="IntenseQuoteChar"/>
    <w:uiPriority w:val="30"/>
    <w:qFormat/>
    <w:rsid w:val="00144D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4DB2"/>
    <w:rPr>
      <w:i/>
      <w:iCs/>
      <w:color w:val="0F4761" w:themeColor="accent1" w:themeShade="BF"/>
    </w:rPr>
  </w:style>
  <w:style w:type="character" w:styleId="IntenseReference">
    <w:name w:val="Intense Reference"/>
    <w:basedOn w:val="DefaultParagraphFont"/>
    <w:uiPriority w:val="32"/>
    <w:qFormat/>
    <w:rsid w:val="00144DB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75</TotalTime>
  <Pages>3</Pages>
  <Words>1198</Words>
  <Characters>6950</Characters>
  <Application>Microsoft Office Word</Application>
  <DocSecurity>0</DocSecurity>
  <Lines>57</Lines>
  <Paragraphs>16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Sofian Dana</dc:creator>
  <cp:keywords/>
  <dc:description/>
  <cp:lastModifiedBy>Sipoteanu Eduard</cp:lastModifiedBy>
  <cp:revision>24</cp:revision>
  <dcterms:created xsi:type="dcterms:W3CDTF">2026-10-13T13:44:00Z</dcterms:created>
  <dcterms:modified xsi:type="dcterms:W3CDTF">2026-10-20T11:08:00Z</dcterms:modified>
</cp:coreProperties>
</file>